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67E7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03.08.2023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1524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E395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E3953">
        <w:rPr>
          <w:rFonts w:ascii="Times New Roman" w:hAnsi="Times New Roman"/>
          <w:b w:val="0"/>
          <w:sz w:val="27"/>
          <w:szCs w:val="27"/>
        </w:rPr>
        <w:t>О</w:t>
      </w:r>
      <w:r w:rsidR="00DC136F" w:rsidRPr="007E3953">
        <w:rPr>
          <w:rFonts w:ascii="Times New Roman" w:hAnsi="Times New Roman"/>
          <w:b w:val="0"/>
          <w:sz w:val="27"/>
          <w:szCs w:val="27"/>
        </w:rPr>
        <w:t>б</w:t>
      </w:r>
      <w:r w:rsidRPr="007E395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7E395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7E395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7E395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7E3953">
        <w:rPr>
          <w:rFonts w:ascii="Times New Roman" w:hAnsi="Times New Roman"/>
          <w:b w:val="0"/>
          <w:sz w:val="27"/>
          <w:szCs w:val="27"/>
        </w:rPr>
        <w:t>ом</w:t>
      </w:r>
      <w:r w:rsidR="00DC136F" w:rsidRPr="007E395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7E3953">
        <w:rPr>
          <w:rFonts w:ascii="Times New Roman" w:hAnsi="Times New Roman"/>
          <w:b w:val="0"/>
          <w:sz w:val="27"/>
          <w:szCs w:val="27"/>
        </w:rPr>
        <w:t>ы</w:t>
      </w:r>
      <w:r w:rsidR="00DC136F" w:rsidRPr="007E395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7E3953">
        <w:rPr>
          <w:rFonts w:ascii="Times New Roman" w:hAnsi="Times New Roman"/>
          <w:b w:val="0"/>
          <w:sz w:val="27"/>
          <w:szCs w:val="27"/>
        </w:rPr>
        <w:t>у</w:t>
      </w:r>
      <w:r w:rsidR="00DC136F" w:rsidRPr="007E395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7E395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B0178E" w:rsidRPr="007E3953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B0178E" w:rsidRPr="007E3953">
        <w:rPr>
          <w:rFonts w:ascii="Times New Roman" w:hAnsi="Times New Roman"/>
          <w:b w:val="0"/>
          <w:sz w:val="27"/>
          <w:szCs w:val="27"/>
        </w:rPr>
        <w:t>, д. 11А</w:t>
      </w:r>
    </w:p>
    <w:p w:rsidR="00B63EA8" w:rsidRPr="007E395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7E3953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E395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E3953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7E3953">
        <w:rPr>
          <w:rFonts w:ascii="Times New Roman" w:hAnsi="Times New Roman"/>
          <w:sz w:val="27"/>
          <w:szCs w:val="27"/>
        </w:rPr>
        <w:t xml:space="preserve">, </w:t>
      </w:r>
    </w:p>
    <w:p w:rsidR="009854B1" w:rsidRPr="007E395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E395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E395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7E395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7E395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E395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7E395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7E395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7E3953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7E3953">
        <w:rPr>
          <w:rFonts w:ascii="Times New Roman" w:hAnsi="Times New Roman"/>
          <w:b w:val="0"/>
          <w:sz w:val="27"/>
          <w:szCs w:val="27"/>
        </w:rPr>
        <w:t>(</w:t>
      </w:r>
      <w:r w:rsidR="00766E91" w:rsidRPr="007E3953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7E3953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7E395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7E395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7E395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B0178E" w:rsidRPr="007E3953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B0178E" w:rsidRPr="007E3953">
        <w:rPr>
          <w:rFonts w:ascii="Times New Roman" w:hAnsi="Times New Roman"/>
          <w:b w:val="0"/>
          <w:sz w:val="27"/>
          <w:szCs w:val="27"/>
        </w:rPr>
        <w:t>, д. 11А</w:t>
      </w:r>
      <w:r w:rsidR="0019413A" w:rsidRPr="007E395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7E395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7E395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7E395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E395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7E3953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0178E" w:rsidRPr="007E3953">
        <w:rPr>
          <w:rFonts w:ascii="Times New Roman" w:hAnsi="Times New Roman"/>
          <w:b w:val="0"/>
          <w:sz w:val="27"/>
          <w:szCs w:val="27"/>
        </w:rPr>
        <w:lastRenderedPageBreak/>
        <w:t xml:space="preserve">Железногорск, г. Железногорск, ул. </w:t>
      </w:r>
      <w:proofErr w:type="gramStart"/>
      <w:r w:rsidR="00B0178E" w:rsidRPr="007E3953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B0178E" w:rsidRPr="007E3953">
        <w:rPr>
          <w:rFonts w:ascii="Times New Roman" w:hAnsi="Times New Roman"/>
          <w:b w:val="0"/>
          <w:sz w:val="27"/>
          <w:szCs w:val="27"/>
        </w:rPr>
        <w:t>, д. 11А</w:t>
      </w:r>
      <w:r w:rsidR="00F73C21" w:rsidRPr="007E3953">
        <w:rPr>
          <w:rFonts w:ascii="Times New Roman" w:hAnsi="Times New Roman"/>
          <w:b w:val="0"/>
          <w:sz w:val="27"/>
          <w:szCs w:val="27"/>
        </w:rPr>
        <w:t>,</w:t>
      </w:r>
      <w:r w:rsidRPr="007E395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7E395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7E3953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7E395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7E395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7E395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E3953">
        <w:rPr>
          <w:rFonts w:ascii="Times New Roman" w:hAnsi="Times New Roman"/>
          <w:sz w:val="27"/>
          <w:szCs w:val="27"/>
        </w:rPr>
        <w:t>3.</w:t>
      </w:r>
      <w:r w:rsidR="00205156" w:rsidRPr="007E3953">
        <w:rPr>
          <w:rFonts w:ascii="Times New Roman" w:hAnsi="Times New Roman"/>
          <w:sz w:val="27"/>
          <w:szCs w:val="27"/>
        </w:rPr>
        <w:t xml:space="preserve"> </w:t>
      </w:r>
      <w:r w:rsidR="0019413A" w:rsidRPr="007E395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7E395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B0178E" w:rsidRPr="007E3953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B0178E" w:rsidRPr="007E3953">
        <w:rPr>
          <w:rFonts w:ascii="Times New Roman" w:hAnsi="Times New Roman"/>
          <w:sz w:val="27"/>
          <w:szCs w:val="27"/>
        </w:rPr>
        <w:t>, д. 11А</w:t>
      </w:r>
      <w:r w:rsidR="0019413A" w:rsidRPr="007E3953">
        <w:rPr>
          <w:rFonts w:ascii="Times New Roman" w:hAnsi="Times New Roman"/>
          <w:sz w:val="27"/>
          <w:szCs w:val="27"/>
        </w:rPr>
        <w:t xml:space="preserve"> на период, установленный пунктом 1 настоящего постановления, в размере </w:t>
      </w:r>
      <w:r w:rsidR="007E3953" w:rsidRPr="007E3953">
        <w:rPr>
          <w:rFonts w:ascii="Times New Roman" w:hAnsi="Times New Roman"/>
          <w:sz w:val="27"/>
          <w:szCs w:val="27"/>
        </w:rPr>
        <w:t>49,21</w:t>
      </w:r>
      <w:r w:rsidR="0019413A" w:rsidRPr="007E395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7E395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7E3953">
        <w:rPr>
          <w:rFonts w:ascii="Times New Roman" w:hAnsi="Times New Roman"/>
          <w:sz w:val="27"/>
          <w:szCs w:val="27"/>
        </w:rPr>
        <w:t>4</w:t>
      </w:r>
      <w:r w:rsidR="00341161" w:rsidRPr="007E395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7E395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7E395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7E3953">
        <w:rPr>
          <w:rFonts w:ascii="Times New Roman" w:hAnsi="Times New Roman"/>
          <w:sz w:val="27"/>
          <w:szCs w:val="27"/>
        </w:rPr>
        <w:t>холодному</w:t>
      </w:r>
      <w:r w:rsidR="00B0178E" w:rsidRPr="007E3953">
        <w:rPr>
          <w:rFonts w:ascii="Times New Roman" w:hAnsi="Times New Roman"/>
          <w:sz w:val="27"/>
          <w:szCs w:val="27"/>
        </w:rPr>
        <w:t xml:space="preserve"> и горячему </w:t>
      </w:r>
      <w:r w:rsidR="0019413A" w:rsidRPr="007E3953">
        <w:rPr>
          <w:rFonts w:ascii="Times New Roman" w:hAnsi="Times New Roman"/>
          <w:sz w:val="27"/>
          <w:szCs w:val="27"/>
        </w:rPr>
        <w:t>водоснабжению</w:t>
      </w:r>
      <w:r w:rsidR="00E303E2" w:rsidRPr="007E395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7E395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7E3953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7E395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7E395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7E395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7E3953">
        <w:rPr>
          <w:rFonts w:ascii="Times New Roman" w:hAnsi="Times New Roman"/>
          <w:sz w:val="27"/>
          <w:szCs w:val="27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7E395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E3953">
        <w:rPr>
          <w:rFonts w:ascii="Times New Roman" w:hAnsi="Times New Roman"/>
          <w:b w:val="0"/>
          <w:sz w:val="27"/>
          <w:szCs w:val="27"/>
        </w:rPr>
        <w:t>5. Управлению городского хозяйства Администрации ЗАТО г. Железногорск (</w:t>
      </w:r>
      <w:r w:rsidR="007E3953" w:rsidRPr="007E3953">
        <w:rPr>
          <w:rFonts w:ascii="Times New Roman" w:hAnsi="Times New Roman"/>
          <w:b w:val="0"/>
          <w:sz w:val="27"/>
          <w:szCs w:val="27"/>
        </w:rPr>
        <w:t>Т.В. Синкина</w:t>
      </w:r>
      <w:r w:rsidRPr="007E3953">
        <w:rPr>
          <w:rFonts w:ascii="Times New Roman" w:hAnsi="Times New Roman"/>
          <w:b w:val="0"/>
          <w:sz w:val="27"/>
          <w:szCs w:val="27"/>
        </w:rPr>
        <w:t xml:space="preserve">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7E395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B0178E" w:rsidRPr="007E3953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B0178E" w:rsidRPr="007E3953">
        <w:rPr>
          <w:rFonts w:ascii="Times New Roman" w:hAnsi="Times New Roman"/>
          <w:b w:val="0"/>
          <w:sz w:val="27"/>
          <w:szCs w:val="27"/>
        </w:rPr>
        <w:t>, д. 11А</w:t>
      </w:r>
      <w:r w:rsidRPr="007E395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7E3953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7E395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9413A" w:rsidRPr="007E3953" w:rsidRDefault="00EC7F1E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6</w:t>
      </w:r>
      <w:r w:rsidR="0019413A" w:rsidRPr="007E395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</w:t>
      </w:r>
      <w:r w:rsidR="007E3953" w:rsidRPr="007E3953">
        <w:rPr>
          <w:rFonts w:ascii="Times New Roman" w:hAnsi="Times New Roman"/>
          <w:b w:val="0"/>
          <w:sz w:val="27"/>
          <w:szCs w:val="27"/>
        </w:rPr>
        <w:t>В.Г. Винокурова</w:t>
      </w:r>
      <w:r w:rsidR="0019413A" w:rsidRPr="007E3953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19413A" w:rsidRPr="007E3953" w:rsidRDefault="00EC7F1E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19413A" w:rsidRPr="007E3953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7E3953">
        <w:rPr>
          <w:rFonts w:ascii="Times New Roman" w:hAnsi="Times New Roman"/>
          <w:sz w:val="27"/>
          <w:szCs w:val="27"/>
        </w:rPr>
        <w:t>Архипова</w:t>
      </w:r>
      <w:r w:rsidR="0019413A" w:rsidRPr="007E3953">
        <w:rPr>
          <w:rFonts w:ascii="Times New Roman" w:hAnsi="Times New Roman"/>
          <w:sz w:val="27"/>
          <w:szCs w:val="27"/>
        </w:rPr>
        <w:t xml:space="preserve">) разместить настоящее постановление на официальном сайте </w:t>
      </w:r>
      <w:r w:rsidR="007E3953" w:rsidRPr="007E3953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19413A" w:rsidRPr="007E395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7E3953">
        <w:rPr>
          <w:rFonts w:ascii="Times New Roman" w:hAnsi="Times New Roman"/>
          <w:sz w:val="27"/>
          <w:szCs w:val="27"/>
        </w:rPr>
        <w:t>в</w:t>
      </w:r>
      <w:proofErr w:type="gramEnd"/>
      <w:r w:rsidR="0019413A" w:rsidRPr="007E3953">
        <w:rPr>
          <w:rFonts w:ascii="Times New Roman" w:hAnsi="Times New Roman"/>
          <w:sz w:val="27"/>
          <w:szCs w:val="27"/>
        </w:rPr>
        <w:t xml:space="preserve"> информационно-телекоммуникационной сети «Интернет».</w:t>
      </w:r>
    </w:p>
    <w:p w:rsidR="0019413A" w:rsidRPr="007E3953" w:rsidRDefault="00EC7F1E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9413A" w:rsidRPr="007E3953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7E3953" w:rsidRPr="007E3953">
        <w:rPr>
          <w:rFonts w:ascii="Times New Roman" w:hAnsi="Times New Roman" w:cs="Times New Roman"/>
          <w:sz w:val="27"/>
          <w:szCs w:val="27"/>
        </w:rPr>
        <w:t>Р.И. Вычужанина</w:t>
      </w:r>
      <w:r w:rsidR="0019413A" w:rsidRPr="007E3953">
        <w:rPr>
          <w:rFonts w:ascii="Times New Roman" w:hAnsi="Times New Roman" w:cs="Times New Roman"/>
          <w:sz w:val="27"/>
          <w:szCs w:val="27"/>
        </w:rPr>
        <w:t>.</w:t>
      </w:r>
    </w:p>
    <w:p w:rsidR="0019413A" w:rsidRPr="007E3953" w:rsidRDefault="00EC7F1E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9413A" w:rsidRPr="007E3953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="007E3953" w:rsidRPr="007E3953">
        <w:rPr>
          <w:rFonts w:ascii="Times New Roman" w:hAnsi="Times New Roman" w:cs="Times New Roman"/>
          <w:sz w:val="27"/>
          <w:szCs w:val="27"/>
        </w:rPr>
        <w:t>, но не ранее 26</w:t>
      </w:r>
      <w:r w:rsidR="00766E91" w:rsidRPr="007E3953">
        <w:rPr>
          <w:rFonts w:ascii="Times New Roman" w:hAnsi="Times New Roman" w:cs="Times New Roman"/>
          <w:sz w:val="27"/>
          <w:szCs w:val="27"/>
        </w:rPr>
        <w:t>.08.202</w:t>
      </w:r>
      <w:r w:rsidR="007E3953" w:rsidRPr="007E3953">
        <w:rPr>
          <w:rFonts w:ascii="Times New Roman" w:hAnsi="Times New Roman" w:cs="Times New Roman"/>
          <w:sz w:val="27"/>
          <w:szCs w:val="27"/>
        </w:rPr>
        <w:t>3</w:t>
      </w:r>
      <w:r w:rsidR="0019413A" w:rsidRPr="007E3953">
        <w:rPr>
          <w:rFonts w:ascii="Times New Roman" w:hAnsi="Times New Roman" w:cs="Times New Roman"/>
          <w:sz w:val="27"/>
          <w:szCs w:val="27"/>
        </w:rPr>
        <w:t>.</w:t>
      </w:r>
    </w:p>
    <w:p w:rsidR="007434B8" w:rsidRPr="007E3953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7E395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7E3953">
          <w:headerReference w:type="default" r:id="rId10"/>
          <w:pgSz w:w="11905" w:h="16838"/>
          <w:pgMar w:top="1134" w:right="851" w:bottom="1021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7E3953">
        <w:rPr>
          <w:rFonts w:ascii="Times New Roman" w:hAnsi="Times New Roman"/>
          <w:sz w:val="27"/>
          <w:szCs w:val="27"/>
        </w:rPr>
        <w:t>Г</w:t>
      </w:r>
      <w:r w:rsidR="007434B8" w:rsidRPr="007E3953">
        <w:rPr>
          <w:rFonts w:ascii="Times New Roman" w:hAnsi="Times New Roman"/>
          <w:sz w:val="27"/>
          <w:szCs w:val="27"/>
        </w:rPr>
        <w:t>лав</w:t>
      </w:r>
      <w:r w:rsidR="00690379" w:rsidRPr="007E3953">
        <w:rPr>
          <w:rFonts w:ascii="Times New Roman" w:hAnsi="Times New Roman"/>
          <w:sz w:val="27"/>
          <w:szCs w:val="27"/>
        </w:rPr>
        <w:t>а</w:t>
      </w:r>
      <w:r w:rsidR="00BE0F58" w:rsidRPr="007E3953">
        <w:rPr>
          <w:rFonts w:ascii="Times New Roman" w:hAnsi="Times New Roman"/>
          <w:sz w:val="27"/>
          <w:szCs w:val="27"/>
        </w:rPr>
        <w:t xml:space="preserve"> З</w:t>
      </w:r>
      <w:r w:rsidR="009B4BDB" w:rsidRPr="007E3953">
        <w:rPr>
          <w:rFonts w:ascii="Times New Roman" w:hAnsi="Times New Roman"/>
          <w:sz w:val="27"/>
          <w:szCs w:val="27"/>
        </w:rPr>
        <w:t>АТО г. Жел</w:t>
      </w:r>
      <w:r w:rsidR="0046386D" w:rsidRPr="007E3953">
        <w:rPr>
          <w:rFonts w:ascii="Times New Roman" w:hAnsi="Times New Roman"/>
          <w:sz w:val="27"/>
          <w:szCs w:val="27"/>
        </w:rPr>
        <w:t>е</w:t>
      </w:r>
      <w:r w:rsidR="009B4BDB" w:rsidRPr="007E3953">
        <w:rPr>
          <w:rFonts w:ascii="Times New Roman" w:hAnsi="Times New Roman"/>
          <w:sz w:val="27"/>
          <w:szCs w:val="27"/>
        </w:rPr>
        <w:t>зногорск</w:t>
      </w:r>
      <w:r w:rsidR="008B5B7C" w:rsidRPr="007E3953">
        <w:rPr>
          <w:rFonts w:ascii="Times New Roman" w:hAnsi="Times New Roman"/>
          <w:sz w:val="27"/>
          <w:szCs w:val="27"/>
        </w:rPr>
        <w:t xml:space="preserve"> </w:t>
      </w:r>
      <w:r w:rsidR="00366A1F" w:rsidRPr="007E3953">
        <w:rPr>
          <w:rFonts w:ascii="Times New Roman" w:hAnsi="Times New Roman"/>
          <w:sz w:val="27"/>
          <w:szCs w:val="27"/>
        </w:rPr>
        <w:t xml:space="preserve">       </w:t>
      </w:r>
      <w:r w:rsidR="00092D22" w:rsidRPr="007E3953">
        <w:rPr>
          <w:rFonts w:ascii="Times New Roman" w:hAnsi="Times New Roman"/>
          <w:sz w:val="27"/>
          <w:szCs w:val="27"/>
        </w:rPr>
        <w:t xml:space="preserve"> </w:t>
      </w:r>
      <w:r w:rsidR="008B5B7C" w:rsidRPr="007E3953">
        <w:rPr>
          <w:rFonts w:ascii="Times New Roman" w:hAnsi="Times New Roman"/>
          <w:sz w:val="27"/>
          <w:szCs w:val="27"/>
        </w:rPr>
        <w:t xml:space="preserve">    </w:t>
      </w:r>
      <w:r w:rsidR="009B4BDB" w:rsidRPr="007E3953">
        <w:rPr>
          <w:rFonts w:ascii="Times New Roman" w:hAnsi="Times New Roman"/>
          <w:sz w:val="27"/>
          <w:szCs w:val="27"/>
        </w:rPr>
        <w:t xml:space="preserve"> </w:t>
      </w:r>
      <w:r w:rsidR="00395B5D" w:rsidRPr="007E3953">
        <w:rPr>
          <w:rFonts w:ascii="Times New Roman" w:hAnsi="Times New Roman"/>
          <w:sz w:val="27"/>
          <w:szCs w:val="27"/>
        </w:rPr>
        <w:t xml:space="preserve">   </w:t>
      </w:r>
      <w:r w:rsidR="00DE3B90" w:rsidRPr="007E3953">
        <w:rPr>
          <w:rFonts w:ascii="Times New Roman" w:hAnsi="Times New Roman"/>
          <w:sz w:val="27"/>
          <w:szCs w:val="27"/>
        </w:rPr>
        <w:t xml:space="preserve"> </w:t>
      </w:r>
      <w:r w:rsidR="009802A7" w:rsidRPr="007E3953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7E3953">
        <w:rPr>
          <w:rFonts w:ascii="Times New Roman" w:hAnsi="Times New Roman"/>
          <w:sz w:val="27"/>
          <w:szCs w:val="27"/>
        </w:rPr>
        <w:t xml:space="preserve"> </w:t>
      </w:r>
      <w:r w:rsidR="00690379" w:rsidRPr="007E3953">
        <w:rPr>
          <w:rFonts w:ascii="Times New Roman" w:hAnsi="Times New Roman"/>
          <w:sz w:val="27"/>
          <w:szCs w:val="27"/>
        </w:rPr>
        <w:t xml:space="preserve">     </w:t>
      </w:r>
      <w:r w:rsidR="008B5B7C" w:rsidRPr="007E3953">
        <w:rPr>
          <w:rFonts w:ascii="Times New Roman" w:hAnsi="Times New Roman"/>
          <w:sz w:val="27"/>
          <w:szCs w:val="27"/>
        </w:rPr>
        <w:t xml:space="preserve">  </w:t>
      </w:r>
      <w:r w:rsidR="00BE0F58" w:rsidRPr="007E3953">
        <w:rPr>
          <w:rFonts w:ascii="Times New Roman" w:hAnsi="Times New Roman"/>
          <w:sz w:val="27"/>
          <w:szCs w:val="27"/>
        </w:rPr>
        <w:t xml:space="preserve">       </w:t>
      </w:r>
      <w:r w:rsidR="008B5B7C" w:rsidRPr="007E3953">
        <w:rPr>
          <w:rFonts w:ascii="Times New Roman" w:hAnsi="Times New Roman"/>
          <w:sz w:val="27"/>
          <w:szCs w:val="27"/>
        </w:rPr>
        <w:t xml:space="preserve">  </w:t>
      </w:r>
      <w:r w:rsidR="007E3953" w:rsidRPr="007E3953">
        <w:rPr>
          <w:rFonts w:ascii="Times New Roman" w:hAnsi="Times New Roman"/>
          <w:sz w:val="27"/>
          <w:szCs w:val="27"/>
        </w:rPr>
        <w:t>Д.М.</w:t>
      </w:r>
      <w:r w:rsidR="007E3953">
        <w:rPr>
          <w:rFonts w:ascii="Times New Roman" w:hAnsi="Times New Roman"/>
          <w:sz w:val="28"/>
          <w:szCs w:val="28"/>
        </w:rPr>
        <w:t xml:space="preserve"> Чернятин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67E7F">
        <w:rPr>
          <w:rFonts w:ascii="Times New Roman" w:eastAsia="Times New Roman" w:hAnsi="Times New Roman"/>
          <w:sz w:val="28"/>
          <w:szCs w:val="28"/>
        </w:rPr>
        <w:t>03.08.2024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7E7F">
        <w:rPr>
          <w:rFonts w:ascii="Times New Roman" w:eastAsia="Times New Roman" w:hAnsi="Times New Roman"/>
          <w:sz w:val="28"/>
          <w:szCs w:val="28"/>
        </w:rPr>
        <w:t>1524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11А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7E3953" w:rsidRPr="001175B7" w:rsidTr="007E3953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7E3953" w:rsidRPr="001175B7" w:rsidTr="007E395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7E3953" w:rsidRPr="001175B7" w:rsidTr="007E3953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290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7E3953" w:rsidRPr="001175B7" w:rsidTr="007E3953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205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7E3953" w:rsidRPr="001175B7" w:rsidTr="007E3953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205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7E3953" w:rsidRPr="001175B7" w:rsidTr="007E3953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290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348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348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2E00B9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348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7E3953" w:rsidRPr="001175B7" w:rsidTr="007E3953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7E3953" w:rsidRPr="001175B7" w:rsidTr="007E3953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7E3953" w:rsidRPr="001175B7" w:rsidTr="007E3953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7E3953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E3953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E3953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953"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E3953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953"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E3953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53" w:rsidRPr="001175B7" w:rsidRDefault="007E3953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Ремонт теплоизоляции трубопроводов ГВС трубками "Энергофлекс"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оголенных участков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Замена небольших участков канализационных труб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 xml:space="preserve">Замена фасонных частей канализационных труб (до 2 </w:t>
            </w:r>
            <w:proofErr w:type="spellStart"/>
            <w:proofErr w:type="gramStart"/>
            <w:r w:rsidRPr="003C30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C3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стыков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течи в местах стыков</w:t>
            </w:r>
          </w:p>
        </w:tc>
      </w:tr>
      <w:tr w:rsidR="003C304B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Смена (установка) заглушек на прочистках канализации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Pr="001175B7" w:rsidRDefault="003C304B" w:rsidP="003C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B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C304B" w:rsidRPr="001175B7" w:rsidTr="00345DC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4B" w:rsidRPr="001175B7" w:rsidRDefault="003C304B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345DC2" w:rsidRPr="001175B7" w:rsidTr="00345DC2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C2">
              <w:rPr>
                <w:rFonts w:ascii="Times New Roman" w:hAnsi="Times New Roman"/>
                <w:sz w:val="24"/>
                <w:szCs w:val="24"/>
              </w:rPr>
              <w:t>Обслуживание ИТП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34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C2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системы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45DC2" w:rsidRPr="001175B7" w:rsidTr="007E3953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345DC2" w:rsidRPr="001175B7" w:rsidTr="007E395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C2" w:rsidRPr="001175B7" w:rsidRDefault="00345DC2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3F4F8D" w:rsidRPr="001175B7" w:rsidTr="007E395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AD411F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 светодиодных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3F4F8D" w:rsidRPr="001175B7" w:rsidTr="007E395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3F4F8D" w:rsidRPr="001175B7" w:rsidTr="007E395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AD411F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3F4F8D" w:rsidRPr="001175B7" w:rsidTr="007E395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823BF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3F4F8D" w:rsidRPr="001175B7" w:rsidTr="007E395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Включение автоматических выключателей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автоматов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3F4F8D" w:rsidRPr="001175B7" w:rsidTr="007E395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3F4F8D" w:rsidRPr="001175B7" w:rsidTr="007E3953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F8D" w:rsidRPr="001175B7" w:rsidTr="007E3953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F4F8D" w:rsidRPr="001175B7" w:rsidTr="007E395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F4F8D" w:rsidRPr="001175B7" w:rsidTr="007E395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3F4F8D" w:rsidRPr="001175B7" w:rsidTr="007E395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ыми смесями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прохождении</w:t>
            </w:r>
          </w:p>
        </w:tc>
      </w:tr>
      <w:tr w:rsidR="003F4F8D" w:rsidRPr="001175B7" w:rsidTr="007E3953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Работы по содержанию придомовой территории в теплый период года</w:t>
            </w:r>
          </w:p>
        </w:tc>
      </w:tr>
      <w:tr w:rsidR="003F4F8D" w:rsidRPr="001175B7" w:rsidTr="007E3953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1313,58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3F4F8D" w:rsidRPr="001175B7" w:rsidTr="007E3953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1313,58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1313,58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Default="00A34998" w:rsidP="00A34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8943C6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Осмотр объектов благоустройства 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роги, пешеходные дорожки,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асаждения)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3F4F8D" w:rsidRDefault="003F4F8D" w:rsidP="003F4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1390,58</w:t>
            </w:r>
          </w:p>
          <w:p w:rsidR="003F4F8D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3F4F8D" w:rsidRPr="001175B7" w:rsidTr="007E3953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 xml:space="preserve">30,64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 xml:space="preserve">30,64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F4F8D" w:rsidRPr="001175B7" w:rsidTr="007E3953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A34998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30,64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3F4F8D" w:rsidRPr="001175B7" w:rsidTr="007E3953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3F4F8D" w:rsidRPr="001175B7" w:rsidTr="00A34998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грызунов на объекте в течение не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3F4F8D" w:rsidRPr="001175B7" w:rsidTr="00A34998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F8D" w:rsidRPr="001175B7" w:rsidTr="007E3953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3F4F8D" w:rsidRPr="001175B7" w:rsidTr="00A34998"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F4F8D" w:rsidRPr="001175B7" w:rsidTr="007E3953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3F4F8D" w:rsidRPr="001175B7" w:rsidTr="007E39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53">
              <w:rPr>
                <w:rFonts w:ascii="Times New Roman" w:hAnsi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8D" w:rsidRPr="001175B7" w:rsidRDefault="003F4F8D" w:rsidP="007E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8D" w:rsidRDefault="003F4F8D">
      <w:r>
        <w:separator/>
      </w:r>
    </w:p>
  </w:endnote>
  <w:endnote w:type="continuationSeparator" w:id="0">
    <w:p w:rsidR="003F4F8D" w:rsidRDefault="003F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8D" w:rsidRDefault="003F4F8D">
      <w:r>
        <w:separator/>
      </w:r>
    </w:p>
  </w:footnote>
  <w:footnote w:type="continuationSeparator" w:id="0">
    <w:p w:rsidR="003F4F8D" w:rsidRDefault="003F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F4F8D" w:rsidRDefault="00711676" w:rsidP="00690443">
        <w:pPr>
          <w:pStyle w:val="a7"/>
          <w:jc w:val="center"/>
        </w:pPr>
        <w:fldSimple w:instr=" PAGE   \* MERGEFORMAT ">
          <w:r w:rsidR="00A67E7F">
            <w:rPr>
              <w:noProof/>
            </w:rPr>
            <w:t>2</w:t>
          </w:r>
        </w:fldSimple>
      </w:p>
    </w:sdtContent>
  </w:sdt>
  <w:p w:rsidR="003F4F8D" w:rsidRDefault="003F4F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6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5DC2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49C"/>
    <w:rsid w:val="003A2559"/>
    <w:rsid w:val="003A2767"/>
    <w:rsid w:val="003A6E84"/>
    <w:rsid w:val="003B320D"/>
    <w:rsid w:val="003C2A7A"/>
    <w:rsid w:val="003C304B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4F8D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4B2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1676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5B9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953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998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67E7F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D56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17D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2B8E"/>
    <w:rsid w:val="00E960CA"/>
    <w:rsid w:val="00E97C55"/>
    <w:rsid w:val="00E97F39"/>
    <w:rsid w:val="00EA2924"/>
    <w:rsid w:val="00EA4CB6"/>
    <w:rsid w:val="00EB5645"/>
    <w:rsid w:val="00EB5F0D"/>
    <w:rsid w:val="00EB649A"/>
    <w:rsid w:val="00EC7F1E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5714-2CA3-4D6F-B67C-DCC723E5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1764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41</cp:revision>
  <cp:lastPrinted>2023-07-31T06:31:00Z</cp:lastPrinted>
  <dcterms:created xsi:type="dcterms:W3CDTF">2019-05-15T05:17:00Z</dcterms:created>
  <dcterms:modified xsi:type="dcterms:W3CDTF">2023-08-04T04:36:00Z</dcterms:modified>
</cp:coreProperties>
</file>